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04" w:rsidRPr="00066A0F" w:rsidRDefault="00683304" w:rsidP="00066A0F">
      <w:pPr>
        <w:rPr>
          <w:rFonts w:ascii="Times New Roman" w:eastAsia="Times New Roman" w:hAnsi="Times New Roman" w:cs="Times New Roman"/>
          <w:color w:val="000000"/>
          <w:sz w:val="24"/>
          <w:szCs w:val="24"/>
        </w:rPr>
      </w:pPr>
      <w:r w:rsidRPr="00066A0F">
        <w:rPr>
          <w:rFonts w:ascii="Times New Roman" w:eastAsia="Times New Roman" w:hAnsi="Times New Roman" w:cs="Times New Roman"/>
          <w:b/>
          <w:bCs/>
          <w:color w:val="000000"/>
          <w:sz w:val="24"/>
          <w:szCs w:val="24"/>
        </w:rPr>
        <w:t>ASSOCIATION BETWEEN 2017 HIGH BLOOD PRESSURE CLINICAL PRACTICE GUIDELINE NEWLY-DEFINED HYPERTENSION AND CHANGE IN BLOOD PRESSURE ON CARDIOVASCULAR DISEASE AMONG YOUNG ADULTS</w:t>
      </w:r>
    </w:p>
    <w:p w:rsidR="00066A0F" w:rsidRDefault="00683304" w:rsidP="00066A0F">
      <w:pPr>
        <w:rPr>
          <w:rFonts w:ascii="Times New Roman" w:eastAsia="Times New Roman" w:hAnsi="Times New Roman" w:cs="Times New Roman"/>
          <w:color w:val="000000"/>
          <w:sz w:val="24"/>
          <w:szCs w:val="24"/>
        </w:rPr>
      </w:pPr>
      <w:r w:rsidRPr="00066A0F">
        <w:rPr>
          <w:rFonts w:ascii="Times New Roman" w:eastAsia="Times New Roman" w:hAnsi="Times New Roman" w:cs="Times New Roman"/>
          <w:color w:val="000000"/>
          <w:sz w:val="24"/>
          <w:szCs w:val="24"/>
        </w:rPr>
        <w:t>J. Son</w:t>
      </w:r>
      <w:r w:rsidRPr="00066A0F">
        <w:rPr>
          <w:rFonts w:ascii="Times New Roman" w:eastAsia="Times New Roman" w:hAnsi="Times New Roman" w:cs="Times New Roman"/>
          <w:color w:val="000000"/>
          <w:sz w:val="24"/>
          <w:szCs w:val="24"/>
          <w:vertAlign w:val="superscript"/>
        </w:rPr>
        <w:t>1</w:t>
      </w:r>
      <w:r w:rsidRPr="00066A0F">
        <w:rPr>
          <w:rFonts w:ascii="Times New Roman" w:eastAsia="Times New Roman" w:hAnsi="Times New Roman" w:cs="Times New Roman"/>
          <w:color w:val="000000"/>
          <w:sz w:val="24"/>
          <w:szCs w:val="24"/>
        </w:rPr>
        <w:t>, </w:t>
      </w:r>
      <w:r w:rsidRPr="00066A0F">
        <w:rPr>
          <w:rFonts w:ascii="Times New Roman" w:eastAsia="Times New Roman" w:hAnsi="Times New Roman" w:cs="Times New Roman"/>
          <w:b/>
          <w:bCs/>
          <w:color w:val="000000"/>
          <w:sz w:val="24"/>
          <w:szCs w:val="24"/>
          <w:u w:val="single"/>
        </w:rPr>
        <w:t>S. Choi</w:t>
      </w:r>
      <w:r w:rsidRPr="00066A0F">
        <w:rPr>
          <w:rFonts w:ascii="Times New Roman" w:eastAsia="Times New Roman" w:hAnsi="Times New Roman" w:cs="Times New Roman"/>
          <w:color w:val="000000"/>
          <w:sz w:val="24"/>
          <w:szCs w:val="24"/>
          <w:u w:val="single"/>
          <w:vertAlign w:val="superscript"/>
        </w:rPr>
        <w:t>1</w:t>
      </w:r>
      <w:r w:rsidRPr="00066A0F">
        <w:rPr>
          <w:rFonts w:ascii="Times New Roman" w:eastAsia="Times New Roman" w:hAnsi="Times New Roman" w:cs="Times New Roman"/>
          <w:color w:val="000000"/>
          <w:sz w:val="24"/>
          <w:szCs w:val="24"/>
        </w:rPr>
        <w:t>, K. Kim</w:t>
      </w:r>
      <w:r w:rsidRPr="00066A0F">
        <w:rPr>
          <w:rFonts w:ascii="Times New Roman" w:eastAsia="Times New Roman" w:hAnsi="Times New Roman" w:cs="Times New Roman"/>
          <w:color w:val="000000"/>
          <w:sz w:val="24"/>
          <w:szCs w:val="24"/>
          <w:vertAlign w:val="superscript"/>
        </w:rPr>
        <w:t>1</w:t>
      </w:r>
      <w:r w:rsidRPr="00066A0F">
        <w:rPr>
          <w:rFonts w:ascii="Times New Roman" w:eastAsia="Times New Roman" w:hAnsi="Times New Roman" w:cs="Times New Roman"/>
          <w:color w:val="000000"/>
          <w:sz w:val="24"/>
          <w:szCs w:val="24"/>
        </w:rPr>
        <w:t>, S. Kim</w:t>
      </w:r>
      <w:r w:rsidRPr="00066A0F">
        <w:rPr>
          <w:rFonts w:ascii="Times New Roman" w:eastAsia="Times New Roman" w:hAnsi="Times New Roman" w:cs="Times New Roman"/>
          <w:color w:val="000000"/>
          <w:sz w:val="24"/>
          <w:szCs w:val="24"/>
          <w:vertAlign w:val="superscript"/>
        </w:rPr>
        <w:t>1</w:t>
      </w:r>
      <w:r w:rsidRPr="00066A0F">
        <w:rPr>
          <w:rFonts w:ascii="Times New Roman" w:eastAsia="Times New Roman" w:hAnsi="Times New Roman" w:cs="Times New Roman"/>
          <w:color w:val="000000"/>
          <w:sz w:val="24"/>
          <w:szCs w:val="24"/>
        </w:rPr>
        <w:t>, G. Lee</w:t>
      </w:r>
      <w:r w:rsidRPr="00066A0F">
        <w:rPr>
          <w:rFonts w:ascii="Times New Roman" w:eastAsia="Times New Roman" w:hAnsi="Times New Roman" w:cs="Times New Roman"/>
          <w:color w:val="000000"/>
          <w:sz w:val="24"/>
          <w:szCs w:val="24"/>
          <w:vertAlign w:val="superscript"/>
        </w:rPr>
        <w:t>2</w:t>
      </w:r>
      <w:r w:rsidRPr="00066A0F">
        <w:rPr>
          <w:rFonts w:ascii="Times New Roman" w:eastAsia="Times New Roman" w:hAnsi="Times New Roman" w:cs="Times New Roman"/>
          <w:color w:val="000000"/>
          <w:sz w:val="24"/>
          <w:szCs w:val="24"/>
        </w:rPr>
        <w:t>, S.-M. Jeong</w:t>
      </w:r>
      <w:r w:rsidRPr="00066A0F">
        <w:rPr>
          <w:rFonts w:ascii="Times New Roman" w:eastAsia="Times New Roman" w:hAnsi="Times New Roman" w:cs="Times New Roman"/>
          <w:color w:val="000000"/>
          <w:sz w:val="24"/>
          <w:szCs w:val="24"/>
          <w:vertAlign w:val="superscript"/>
        </w:rPr>
        <w:t>1</w:t>
      </w:r>
      <w:r w:rsidRPr="00066A0F">
        <w:rPr>
          <w:rFonts w:ascii="Times New Roman" w:eastAsia="Times New Roman" w:hAnsi="Times New Roman" w:cs="Times New Roman"/>
          <w:color w:val="000000"/>
          <w:sz w:val="24"/>
          <w:szCs w:val="24"/>
        </w:rPr>
        <w:t>, S. Park</w:t>
      </w:r>
      <w:r w:rsidRPr="00066A0F">
        <w:rPr>
          <w:rFonts w:ascii="Times New Roman" w:eastAsia="Times New Roman" w:hAnsi="Times New Roman" w:cs="Times New Roman"/>
          <w:color w:val="000000"/>
          <w:sz w:val="24"/>
          <w:szCs w:val="24"/>
          <w:vertAlign w:val="superscript"/>
        </w:rPr>
        <w:t>3</w:t>
      </w:r>
      <w:r w:rsidRPr="00066A0F">
        <w:rPr>
          <w:rFonts w:ascii="Times New Roman" w:eastAsia="Times New Roman" w:hAnsi="Times New Roman" w:cs="Times New Roman"/>
          <w:color w:val="000000"/>
          <w:sz w:val="24"/>
          <w:szCs w:val="24"/>
        </w:rPr>
        <w:t>, Y.-Y. Kim</w:t>
      </w:r>
      <w:r w:rsidRPr="00066A0F">
        <w:rPr>
          <w:rFonts w:ascii="Times New Roman" w:eastAsia="Times New Roman" w:hAnsi="Times New Roman" w:cs="Times New Roman"/>
          <w:color w:val="000000"/>
          <w:sz w:val="24"/>
          <w:szCs w:val="24"/>
          <w:vertAlign w:val="superscript"/>
        </w:rPr>
        <w:t>3</w:t>
      </w:r>
      <w:r w:rsidRPr="00066A0F">
        <w:rPr>
          <w:rFonts w:ascii="Times New Roman" w:eastAsia="Times New Roman" w:hAnsi="Times New Roman" w:cs="Times New Roman"/>
          <w:color w:val="000000"/>
          <w:sz w:val="24"/>
          <w:szCs w:val="24"/>
        </w:rPr>
        <w:t>, J.-M. Yun</w:t>
      </w:r>
      <w:r w:rsidRPr="00066A0F">
        <w:rPr>
          <w:rFonts w:ascii="Times New Roman" w:eastAsia="Times New Roman" w:hAnsi="Times New Roman" w:cs="Times New Roman"/>
          <w:color w:val="000000"/>
          <w:sz w:val="24"/>
          <w:szCs w:val="24"/>
          <w:vertAlign w:val="superscript"/>
        </w:rPr>
        <w:t>1</w:t>
      </w:r>
      <w:r w:rsidRPr="00066A0F">
        <w:rPr>
          <w:rFonts w:ascii="Times New Roman" w:eastAsia="Times New Roman" w:hAnsi="Times New Roman" w:cs="Times New Roman"/>
          <w:color w:val="000000"/>
          <w:sz w:val="24"/>
          <w:szCs w:val="24"/>
        </w:rPr>
        <w:t xml:space="preserve">, </w:t>
      </w:r>
    </w:p>
    <w:p w:rsidR="00066A0F" w:rsidRDefault="00683304" w:rsidP="00066A0F">
      <w:pPr>
        <w:rPr>
          <w:rFonts w:ascii="Times New Roman" w:eastAsia="Times New Roman" w:hAnsi="Times New Roman" w:cs="Times New Roman"/>
          <w:color w:val="000000"/>
          <w:sz w:val="24"/>
          <w:szCs w:val="24"/>
          <w:vertAlign w:val="superscript"/>
        </w:rPr>
      </w:pPr>
      <w:r w:rsidRPr="00066A0F">
        <w:rPr>
          <w:rFonts w:ascii="Times New Roman" w:eastAsia="Times New Roman" w:hAnsi="Times New Roman" w:cs="Times New Roman"/>
          <w:color w:val="000000"/>
          <w:sz w:val="24"/>
          <w:szCs w:val="24"/>
        </w:rPr>
        <w:t>S. Park</w:t>
      </w:r>
      <w:r w:rsidRPr="00066A0F">
        <w:rPr>
          <w:rFonts w:ascii="Times New Roman" w:eastAsia="Times New Roman" w:hAnsi="Times New Roman" w:cs="Times New Roman"/>
          <w:color w:val="000000"/>
          <w:sz w:val="24"/>
          <w:szCs w:val="24"/>
          <w:vertAlign w:val="superscript"/>
        </w:rPr>
        <w:t>1</w:t>
      </w:r>
    </w:p>
    <w:p w:rsidR="00066A0F" w:rsidRDefault="00683304" w:rsidP="00066A0F">
      <w:pPr>
        <w:rPr>
          <w:rFonts w:ascii="Times New Roman" w:eastAsia="Times New Roman" w:hAnsi="Times New Roman" w:cs="Times New Roman"/>
          <w:color w:val="000000"/>
          <w:sz w:val="24"/>
          <w:szCs w:val="24"/>
        </w:rPr>
      </w:pPr>
      <w:r w:rsidRPr="00066A0F">
        <w:rPr>
          <w:rFonts w:ascii="Times New Roman" w:eastAsia="Times New Roman" w:hAnsi="Times New Roman" w:cs="Times New Roman"/>
          <w:color w:val="000000"/>
          <w:sz w:val="24"/>
          <w:szCs w:val="24"/>
          <w:vertAlign w:val="superscript"/>
        </w:rPr>
        <w:t>1</w:t>
      </w:r>
      <w:r w:rsidRPr="00066A0F">
        <w:rPr>
          <w:rFonts w:ascii="Times New Roman" w:eastAsia="Times New Roman" w:hAnsi="Times New Roman" w:cs="Times New Roman"/>
          <w:color w:val="000000"/>
          <w:sz w:val="24"/>
          <w:szCs w:val="24"/>
        </w:rPr>
        <w:t xml:space="preserve">Seoul National University, Seoul, </w:t>
      </w:r>
      <w:r w:rsidR="00066A0F">
        <w:rPr>
          <w:rFonts w:ascii="Times New Roman" w:eastAsia="Times New Roman" w:hAnsi="Times New Roman" w:cs="Times New Roman"/>
          <w:color w:val="000000"/>
          <w:sz w:val="24"/>
          <w:szCs w:val="24"/>
        </w:rPr>
        <w:t xml:space="preserve">Republic of </w:t>
      </w:r>
      <w:r w:rsidRPr="00066A0F">
        <w:rPr>
          <w:rFonts w:ascii="Times New Roman" w:eastAsia="Times New Roman" w:hAnsi="Times New Roman" w:cs="Times New Roman"/>
          <w:color w:val="000000"/>
          <w:sz w:val="24"/>
          <w:szCs w:val="24"/>
        </w:rPr>
        <w:t>Korea</w:t>
      </w:r>
    </w:p>
    <w:p w:rsidR="00066A0F" w:rsidRDefault="00683304" w:rsidP="00066A0F">
      <w:pPr>
        <w:rPr>
          <w:rFonts w:ascii="Times New Roman" w:eastAsia="Times New Roman" w:hAnsi="Times New Roman" w:cs="Times New Roman"/>
          <w:color w:val="000000"/>
          <w:sz w:val="24"/>
          <w:szCs w:val="24"/>
        </w:rPr>
      </w:pPr>
      <w:r w:rsidRPr="00066A0F">
        <w:rPr>
          <w:rFonts w:ascii="Times New Roman" w:eastAsia="Times New Roman" w:hAnsi="Times New Roman" w:cs="Times New Roman"/>
          <w:color w:val="000000"/>
          <w:sz w:val="24"/>
          <w:szCs w:val="24"/>
          <w:vertAlign w:val="superscript"/>
        </w:rPr>
        <w:t>2</w:t>
      </w:r>
      <w:r w:rsidRPr="00066A0F">
        <w:rPr>
          <w:rFonts w:ascii="Times New Roman" w:eastAsia="Times New Roman" w:hAnsi="Times New Roman" w:cs="Times New Roman"/>
          <w:color w:val="000000"/>
          <w:sz w:val="24"/>
          <w:szCs w:val="24"/>
        </w:rPr>
        <w:t xml:space="preserve">Chung-Ang University Hospital, Seoul, </w:t>
      </w:r>
      <w:r w:rsidR="00066A0F">
        <w:rPr>
          <w:rFonts w:ascii="Times New Roman" w:eastAsia="Times New Roman" w:hAnsi="Times New Roman" w:cs="Times New Roman"/>
          <w:color w:val="000000"/>
          <w:sz w:val="24"/>
          <w:szCs w:val="24"/>
        </w:rPr>
        <w:t xml:space="preserve">Republic of </w:t>
      </w:r>
      <w:r w:rsidRPr="00066A0F">
        <w:rPr>
          <w:rFonts w:ascii="Times New Roman" w:eastAsia="Times New Roman" w:hAnsi="Times New Roman" w:cs="Times New Roman"/>
          <w:color w:val="000000"/>
          <w:sz w:val="24"/>
          <w:szCs w:val="24"/>
        </w:rPr>
        <w:t>Korea</w:t>
      </w:r>
    </w:p>
    <w:p w:rsidR="00683304" w:rsidRDefault="00683304" w:rsidP="00066A0F">
      <w:pPr>
        <w:rPr>
          <w:rFonts w:ascii="Times New Roman" w:eastAsia="Times New Roman" w:hAnsi="Times New Roman" w:cs="Times New Roman"/>
          <w:color w:val="000000"/>
          <w:sz w:val="24"/>
          <w:szCs w:val="24"/>
        </w:rPr>
      </w:pPr>
      <w:r w:rsidRPr="00066A0F">
        <w:rPr>
          <w:rFonts w:ascii="Times New Roman" w:eastAsia="Times New Roman" w:hAnsi="Times New Roman" w:cs="Times New Roman"/>
          <w:color w:val="000000"/>
          <w:sz w:val="24"/>
          <w:szCs w:val="24"/>
          <w:vertAlign w:val="superscript"/>
        </w:rPr>
        <w:t>3</w:t>
      </w:r>
      <w:r w:rsidRPr="00066A0F">
        <w:rPr>
          <w:rFonts w:ascii="Times New Roman" w:eastAsia="Times New Roman" w:hAnsi="Times New Roman" w:cs="Times New Roman"/>
          <w:color w:val="000000"/>
          <w:sz w:val="24"/>
          <w:szCs w:val="24"/>
        </w:rPr>
        <w:t xml:space="preserve">National Health Insurance Service, </w:t>
      </w:r>
      <w:proofErr w:type="spellStart"/>
      <w:r w:rsidRPr="00066A0F">
        <w:rPr>
          <w:rFonts w:ascii="Times New Roman" w:eastAsia="Times New Roman" w:hAnsi="Times New Roman" w:cs="Times New Roman"/>
          <w:color w:val="000000"/>
          <w:sz w:val="24"/>
          <w:szCs w:val="24"/>
        </w:rPr>
        <w:t>Wonju</w:t>
      </w:r>
      <w:proofErr w:type="spellEnd"/>
      <w:r w:rsidRPr="00066A0F">
        <w:rPr>
          <w:rFonts w:ascii="Times New Roman" w:eastAsia="Times New Roman" w:hAnsi="Times New Roman" w:cs="Times New Roman"/>
          <w:color w:val="000000"/>
          <w:sz w:val="24"/>
          <w:szCs w:val="24"/>
        </w:rPr>
        <w:t xml:space="preserve">, </w:t>
      </w:r>
      <w:r w:rsidR="00066A0F">
        <w:rPr>
          <w:rFonts w:ascii="Times New Roman" w:eastAsia="Times New Roman" w:hAnsi="Times New Roman" w:cs="Times New Roman"/>
          <w:color w:val="000000"/>
          <w:sz w:val="24"/>
          <w:szCs w:val="24"/>
        </w:rPr>
        <w:t xml:space="preserve">Republic of </w:t>
      </w:r>
      <w:r w:rsidRPr="00066A0F">
        <w:rPr>
          <w:rFonts w:ascii="Times New Roman" w:eastAsia="Times New Roman" w:hAnsi="Times New Roman" w:cs="Times New Roman"/>
          <w:color w:val="000000"/>
          <w:sz w:val="24"/>
          <w:szCs w:val="24"/>
        </w:rPr>
        <w:t>Korea</w:t>
      </w:r>
    </w:p>
    <w:p w:rsidR="00066A0F" w:rsidRPr="00066A0F" w:rsidRDefault="00066A0F" w:rsidP="00066A0F">
      <w:pPr>
        <w:rPr>
          <w:rFonts w:ascii="Times New Roman" w:eastAsia="Times New Roman" w:hAnsi="Times New Roman" w:cs="Times New Roman"/>
          <w:color w:val="000000"/>
          <w:sz w:val="24"/>
          <w:szCs w:val="24"/>
        </w:rPr>
      </w:pPr>
    </w:p>
    <w:p w:rsidR="00066A0F" w:rsidRDefault="00683304" w:rsidP="00066A0F">
      <w:pPr>
        <w:jc w:val="both"/>
        <w:rPr>
          <w:rFonts w:ascii="Times New Roman" w:eastAsia="Times New Roman" w:hAnsi="Times New Roman" w:cs="Times New Roman"/>
          <w:color w:val="000000"/>
          <w:sz w:val="24"/>
          <w:szCs w:val="24"/>
        </w:rPr>
      </w:pPr>
      <w:r w:rsidRPr="00066A0F">
        <w:rPr>
          <w:rFonts w:ascii="Times New Roman" w:eastAsia="Times New Roman" w:hAnsi="Times New Roman" w:cs="Times New Roman"/>
          <w:b/>
          <w:bCs/>
          <w:color w:val="000000"/>
          <w:sz w:val="24"/>
          <w:szCs w:val="24"/>
        </w:rPr>
        <w:t>Background:</w:t>
      </w:r>
      <w:r w:rsidRPr="00066A0F">
        <w:rPr>
          <w:rFonts w:ascii="Times New Roman" w:eastAsia="Times New Roman" w:hAnsi="Times New Roman" w:cs="Times New Roman"/>
          <w:color w:val="000000"/>
          <w:sz w:val="24"/>
          <w:szCs w:val="24"/>
        </w:rPr>
        <w:t> There is a relative lack of evidence of whether 2017 High Blood Pressure Clinical Practice Guideline’s newly-defined hypertension, as well as the change in blood pressure, is associated with cardiovascular disease (CVD) among young adults. We aimed to determine the effect of hypertension and blood pressure change on CVD among young adults using the Korean National Health Insurance Service database. </w:t>
      </w:r>
    </w:p>
    <w:p w:rsidR="00066A0F" w:rsidRDefault="00683304" w:rsidP="00066A0F">
      <w:pPr>
        <w:jc w:val="both"/>
        <w:rPr>
          <w:rFonts w:ascii="Times New Roman" w:eastAsia="Times New Roman" w:hAnsi="Times New Roman" w:cs="Times New Roman"/>
          <w:color w:val="000000"/>
          <w:sz w:val="24"/>
          <w:szCs w:val="24"/>
        </w:rPr>
      </w:pPr>
      <w:r w:rsidRPr="00066A0F">
        <w:rPr>
          <w:rFonts w:ascii="Times New Roman" w:eastAsia="Times New Roman" w:hAnsi="Times New Roman" w:cs="Times New Roman"/>
          <w:b/>
          <w:bCs/>
          <w:color w:val="000000"/>
          <w:sz w:val="24"/>
          <w:szCs w:val="24"/>
        </w:rPr>
        <w:t>Methods:</w:t>
      </w:r>
      <w:r w:rsidRPr="00066A0F">
        <w:rPr>
          <w:rFonts w:ascii="Times New Roman" w:eastAsia="Times New Roman" w:hAnsi="Times New Roman" w:cs="Times New Roman"/>
          <w:color w:val="000000"/>
          <w:sz w:val="24"/>
          <w:szCs w:val="24"/>
        </w:rPr>
        <w:t> The study population consisted of 2,488,101 men and women aged 20 to 39 years who underwent health examinations during the first (2002-2003) and second (2004-2005) periods. Patients were categorized into normal (systolic blood pressure &lt;120 and diastolic blood pressure &lt;80 mmHg), elevated blood pressure (120-129 and &lt;80 mmHg), stage 1 (130-139 or 80-89 mmHg), and stage 2 hypertension (≥140 or ≥90 mmHg) for each period. The adjusted hazard ratios (</w:t>
      </w:r>
      <w:proofErr w:type="spellStart"/>
      <w:r w:rsidRPr="00066A0F">
        <w:rPr>
          <w:rFonts w:ascii="Times New Roman" w:eastAsia="Times New Roman" w:hAnsi="Times New Roman" w:cs="Times New Roman"/>
          <w:color w:val="000000"/>
          <w:sz w:val="24"/>
          <w:szCs w:val="24"/>
        </w:rPr>
        <w:t>aHRs</w:t>
      </w:r>
      <w:proofErr w:type="spellEnd"/>
      <w:r w:rsidRPr="00066A0F">
        <w:rPr>
          <w:rFonts w:ascii="Times New Roman" w:eastAsia="Times New Roman" w:hAnsi="Times New Roman" w:cs="Times New Roman"/>
          <w:color w:val="000000"/>
          <w:sz w:val="24"/>
          <w:szCs w:val="24"/>
        </w:rPr>
        <w:t>) and 95% confidence intervals (CIs) were determined for CVD from 2006 to 2015 according blood pressure categories and change in blood pressure using multivariate Cox proportional hazards regression. </w:t>
      </w:r>
    </w:p>
    <w:p w:rsidR="00066A0F" w:rsidRDefault="00683304" w:rsidP="00066A0F">
      <w:pPr>
        <w:jc w:val="both"/>
        <w:rPr>
          <w:rFonts w:ascii="Times New Roman" w:eastAsia="Times New Roman" w:hAnsi="Times New Roman" w:cs="Times New Roman"/>
          <w:color w:val="000000"/>
          <w:sz w:val="24"/>
          <w:szCs w:val="24"/>
        </w:rPr>
      </w:pPr>
      <w:r w:rsidRPr="00066A0F">
        <w:rPr>
          <w:rFonts w:ascii="Times New Roman" w:eastAsia="Times New Roman" w:hAnsi="Times New Roman" w:cs="Times New Roman"/>
          <w:b/>
          <w:bCs/>
          <w:color w:val="000000"/>
          <w:sz w:val="24"/>
          <w:szCs w:val="24"/>
        </w:rPr>
        <w:t>Results:</w:t>
      </w:r>
      <w:r w:rsidRPr="00066A0F">
        <w:rPr>
          <w:rFonts w:ascii="Times New Roman" w:eastAsia="Times New Roman" w:hAnsi="Times New Roman" w:cs="Times New Roman"/>
          <w:color w:val="000000"/>
          <w:sz w:val="24"/>
          <w:szCs w:val="24"/>
        </w:rPr>
        <w:t> Compared to normal blood pressure participants, those with stage 1 hypertension had elevated risk for CVD among men (</w:t>
      </w:r>
      <w:proofErr w:type="spellStart"/>
      <w:r w:rsidRPr="00066A0F">
        <w:rPr>
          <w:rFonts w:ascii="Times New Roman" w:eastAsia="Times New Roman" w:hAnsi="Times New Roman" w:cs="Times New Roman"/>
          <w:color w:val="000000"/>
          <w:sz w:val="24"/>
          <w:szCs w:val="24"/>
        </w:rPr>
        <w:t>aHR</w:t>
      </w:r>
      <w:proofErr w:type="spellEnd"/>
      <w:r w:rsidRPr="00066A0F">
        <w:rPr>
          <w:rFonts w:ascii="Times New Roman" w:eastAsia="Times New Roman" w:hAnsi="Times New Roman" w:cs="Times New Roman"/>
          <w:color w:val="000000"/>
          <w:sz w:val="24"/>
          <w:szCs w:val="24"/>
        </w:rPr>
        <w:t xml:space="preserve"> 1.25, 95% CI 1.21-1.28) and women (</w:t>
      </w:r>
      <w:proofErr w:type="spellStart"/>
      <w:r w:rsidRPr="00066A0F">
        <w:rPr>
          <w:rFonts w:ascii="Times New Roman" w:eastAsia="Times New Roman" w:hAnsi="Times New Roman" w:cs="Times New Roman"/>
          <w:color w:val="000000"/>
          <w:sz w:val="24"/>
          <w:szCs w:val="24"/>
        </w:rPr>
        <w:t>aHR</w:t>
      </w:r>
      <w:proofErr w:type="spellEnd"/>
      <w:r w:rsidRPr="00066A0F">
        <w:rPr>
          <w:rFonts w:ascii="Times New Roman" w:eastAsia="Times New Roman" w:hAnsi="Times New Roman" w:cs="Times New Roman"/>
          <w:color w:val="000000"/>
          <w:sz w:val="24"/>
          <w:szCs w:val="24"/>
        </w:rPr>
        <w:t xml:space="preserve"> 1.27, 95% CI 1.21-1.34). Participants with increased blood pressure among initial normal blood pressure participants had elevated risk for CVD (</w:t>
      </w:r>
      <w:proofErr w:type="spellStart"/>
      <w:r w:rsidRPr="00066A0F">
        <w:rPr>
          <w:rFonts w:ascii="Times New Roman" w:eastAsia="Times New Roman" w:hAnsi="Times New Roman" w:cs="Times New Roman"/>
          <w:color w:val="000000"/>
          <w:sz w:val="24"/>
          <w:szCs w:val="24"/>
        </w:rPr>
        <w:t>aHR</w:t>
      </w:r>
      <w:proofErr w:type="spellEnd"/>
      <w:r w:rsidRPr="00066A0F">
        <w:rPr>
          <w:rFonts w:ascii="Times New Roman" w:eastAsia="Times New Roman" w:hAnsi="Times New Roman" w:cs="Times New Roman"/>
          <w:color w:val="000000"/>
          <w:sz w:val="24"/>
          <w:szCs w:val="24"/>
        </w:rPr>
        <w:t xml:space="preserve"> 1.16, 95% CI 1.10-1.22 for men and </w:t>
      </w:r>
      <w:proofErr w:type="spellStart"/>
      <w:r w:rsidRPr="00066A0F">
        <w:rPr>
          <w:rFonts w:ascii="Times New Roman" w:eastAsia="Times New Roman" w:hAnsi="Times New Roman" w:cs="Times New Roman"/>
          <w:color w:val="000000"/>
          <w:sz w:val="24"/>
          <w:szCs w:val="24"/>
        </w:rPr>
        <w:t>aHR</w:t>
      </w:r>
      <w:proofErr w:type="spellEnd"/>
      <w:r w:rsidRPr="00066A0F">
        <w:rPr>
          <w:rFonts w:ascii="Times New Roman" w:eastAsia="Times New Roman" w:hAnsi="Times New Roman" w:cs="Times New Roman"/>
          <w:color w:val="000000"/>
          <w:sz w:val="24"/>
          <w:szCs w:val="24"/>
        </w:rPr>
        <w:t xml:space="preserve"> 1.14, 95% CI 1.06-1.23 for women). Compared to those who remained in stage 1 hypertension, those who reduced blood pressure to normal levels had decreased risk of CVD for men (</w:t>
      </w:r>
      <w:proofErr w:type="spellStart"/>
      <w:r w:rsidRPr="00066A0F">
        <w:rPr>
          <w:rFonts w:ascii="Times New Roman" w:eastAsia="Times New Roman" w:hAnsi="Times New Roman" w:cs="Times New Roman"/>
          <w:color w:val="000000"/>
          <w:sz w:val="24"/>
          <w:szCs w:val="24"/>
        </w:rPr>
        <w:t>aHR</w:t>
      </w:r>
      <w:proofErr w:type="spellEnd"/>
      <w:r w:rsidRPr="00066A0F">
        <w:rPr>
          <w:rFonts w:ascii="Times New Roman" w:eastAsia="Times New Roman" w:hAnsi="Times New Roman" w:cs="Times New Roman"/>
          <w:color w:val="000000"/>
          <w:sz w:val="24"/>
          <w:szCs w:val="24"/>
        </w:rPr>
        <w:t xml:space="preserve"> 0.82, 95% CI 0.79-0.86) and women (</w:t>
      </w:r>
      <w:proofErr w:type="spellStart"/>
      <w:r w:rsidRPr="00066A0F">
        <w:rPr>
          <w:rFonts w:ascii="Times New Roman" w:eastAsia="Times New Roman" w:hAnsi="Times New Roman" w:cs="Times New Roman"/>
          <w:color w:val="000000"/>
          <w:sz w:val="24"/>
          <w:szCs w:val="24"/>
        </w:rPr>
        <w:t>aHR</w:t>
      </w:r>
      <w:proofErr w:type="spellEnd"/>
      <w:r w:rsidRPr="00066A0F">
        <w:rPr>
          <w:rFonts w:ascii="Times New Roman" w:eastAsia="Times New Roman" w:hAnsi="Times New Roman" w:cs="Times New Roman"/>
          <w:color w:val="000000"/>
          <w:sz w:val="24"/>
          <w:szCs w:val="24"/>
        </w:rPr>
        <w:t xml:space="preserve"> 0.80, 95% CI 0.73-0.87). </w:t>
      </w:r>
    </w:p>
    <w:p w:rsidR="00683304" w:rsidRPr="00066A0F" w:rsidRDefault="00683304" w:rsidP="00066A0F">
      <w:pPr>
        <w:jc w:val="both"/>
        <w:rPr>
          <w:rFonts w:ascii="Times New Roman" w:eastAsia="Times New Roman" w:hAnsi="Times New Roman" w:cs="Times New Roman"/>
          <w:color w:val="000000"/>
          <w:sz w:val="24"/>
          <w:szCs w:val="24"/>
        </w:rPr>
      </w:pPr>
      <w:r w:rsidRPr="00066A0F">
        <w:rPr>
          <w:rFonts w:ascii="Times New Roman" w:eastAsia="Times New Roman" w:hAnsi="Times New Roman" w:cs="Times New Roman"/>
          <w:b/>
          <w:bCs/>
          <w:color w:val="000000"/>
          <w:sz w:val="24"/>
          <w:szCs w:val="24"/>
        </w:rPr>
        <w:t>Conclusions:</w:t>
      </w:r>
      <w:r w:rsidRPr="00066A0F">
        <w:rPr>
          <w:rFonts w:ascii="Times New Roman" w:eastAsia="Times New Roman" w:hAnsi="Times New Roman" w:cs="Times New Roman"/>
          <w:color w:val="000000"/>
          <w:sz w:val="24"/>
          <w:szCs w:val="24"/>
        </w:rPr>
        <w:t> Stage 1 hypertension was associated with increased risk of CVD among young adults. Reduction in blood pressure to normal levels was associated with reduced risk of CVD among hypertensive young adults.</w:t>
      </w:r>
    </w:p>
    <w:p w:rsidR="00345DBB" w:rsidRPr="00066A0F" w:rsidRDefault="00810E6D" w:rsidP="00066A0F">
      <w:pPr>
        <w:rPr>
          <w:sz w:val="24"/>
          <w:szCs w:val="24"/>
        </w:rPr>
      </w:pPr>
      <w:bookmarkStart w:id="0" w:name="_GoBack"/>
      <w:bookmarkEnd w:id="0"/>
    </w:p>
    <w:sectPr w:rsidR="00345DBB" w:rsidRPr="00066A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6D" w:rsidRDefault="00810E6D" w:rsidP="00066A0F">
      <w:r>
        <w:separator/>
      </w:r>
    </w:p>
  </w:endnote>
  <w:endnote w:type="continuationSeparator" w:id="0">
    <w:p w:rsidR="00810E6D" w:rsidRDefault="00810E6D" w:rsidP="0006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6D" w:rsidRDefault="00810E6D" w:rsidP="00066A0F">
      <w:r>
        <w:separator/>
      </w:r>
    </w:p>
  </w:footnote>
  <w:footnote w:type="continuationSeparator" w:id="0">
    <w:p w:rsidR="00810E6D" w:rsidRDefault="00810E6D" w:rsidP="00066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A0F" w:rsidRPr="00066A0F" w:rsidRDefault="00066A0F" w:rsidP="00066A0F">
    <w:pPr>
      <w:rPr>
        <w:rFonts w:ascii="Times New Roman" w:eastAsia="Times New Roman" w:hAnsi="Times New Roman" w:cs="Times New Roman"/>
        <w:color w:val="000000"/>
        <w:sz w:val="24"/>
        <w:szCs w:val="24"/>
      </w:rPr>
    </w:pPr>
    <w:r w:rsidRPr="00066A0F">
      <w:rPr>
        <w:rFonts w:ascii="Times New Roman" w:eastAsia="Times New Roman" w:hAnsi="Times New Roman" w:cs="Times New Roman"/>
        <w:color w:val="000000"/>
        <w:sz w:val="24"/>
        <w:szCs w:val="24"/>
      </w:rPr>
      <w:t>18-A-1277-IAC</w:t>
    </w:r>
  </w:p>
  <w:p w:rsidR="00066A0F" w:rsidRPr="00066A0F" w:rsidRDefault="00066A0F" w:rsidP="00066A0F">
    <w:pPr>
      <w:rPr>
        <w:rFonts w:ascii="Times New Roman" w:eastAsia="Times New Roman" w:hAnsi="Times New Roman" w:cs="Times New Roman"/>
        <w:color w:val="000000"/>
        <w:sz w:val="24"/>
        <w:szCs w:val="24"/>
      </w:rPr>
    </w:pPr>
    <w:r w:rsidRPr="00066A0F">
      <w:rPr>
        <w:rFonts w:ascii="Times New Roman" w:eastAsia="Times New Roman" w:hAnsi="Times New Roman" w:cs="Times New Roman"/>
        <w:color w:val="000000"/>
        <w:sz w:val="24"/>
        <w:szCs w:val="24"/>
      </w:rPr>
      <w:t>20. Primary Prevention of Cardiovascular Disease: Assessment and Management of Risk 21. Factors, Lifestyle Changes</w:t>
    </w:r>
  </w:p>
  <w:p w:rsidR="00066A0F" w:rsidRDefault="00066A0F">
    <w:pPr>
      <w:pStyle w:val="Header"/>
    </w:pPr>
  </w:p>
  <w:p w:rsidR="00066A0F" w:rsidRDefault="00066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04"/>
    <w:rsid w:val="00066A0F"/>
    <w:rsid w:val="0030401F"/>
    <w:rsid w:val="00683304"/>
    <w:rsid w:val="00810E6D"/>
    <w:rsid w:val="008A10D5"/>
    <w:rsid w:val="00A128E1"/>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F74C"/>
  <w15:chartTrackingRefBased/>
  <w15:docId w15:val="{BA9E775E-F939-44E4-A58D-CB36E5CB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A0F"/>
    <w:pPr>
      <w:tabs>
        <w:tab w:val="center" w:pos="4680"/>
        <w:tab w:val="right" w:pos="9360"/>
      </w:tabs>
    </w:pPr>
  </w:style>
  <w:style w:type="character" w:customStyle="1" w:styleId="HeaderChar">
    <w:name w:val="Header Char"/>
    <w:basedOn w:val="DefaultParagraphFont"/>
    <w:link w:val="Header"/>
    <w:uiPriority w:val="99"/>
    <w:rsid w:val="00066A0F"/>
  </w:style>
  <w:style w:type="paragraph" w:styleId="Footer">
    <w:name w:val="footer"/>
    <w:basedOn w:val="Normal"/>
    <w:link w:val="FooterChar"/>
    <w:uiPriority w:val="99"/>
    <w:unhideWhenUsed/>
    <w:rsid w:val="00066A0F"/>
    <w:pPr>
      <w:tabs>
        <w:tab w:val="center" w:pos="4680"/>
        <w:tab w:val="right" w:pos="9360"/>
      </w:tabs>
    </w:pPr>
  </w:style>
  <w:style w:type="character" w:customStyle="1" w:styleId="FooterChar">
    <w:name w:val="Footer Char"/>
    <w:basedOn w:val="DefaultParagraphFont"/>
    <w:link w:val="Footer"/>
    <w:uiPriority w:val="99"/>
    <w:rsid w:val="0006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2018-05-27T05:18:00Z</dcterms:created>
  <dcterms:modified xsi:type="dcterms:W3CDTF">2018-05-27T05:21:00Z</dcterms:modified>
</cp:coreProperties>
</file>